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shape style="position:absolute;margin-left:187.850006pt;margin-top:32.307804pt;width:342pt;height:.1pt;mso-position-horizontal-relative:page;mso-position-vertical-relative:paragraph;z-index:-15728640;mso-wrap-distance-left:0;mso-wrap-distance-right:0" coordorigin="3757,646" coordsize="6840,0" path="m3757,646l10597,646e" filled="false" stroked="true" strokeweight="2pt" strokecolor="#00174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899794</wp:posOffset>
            </wp:positionH>
            <wp:positionV relativeFrom="paragraph">
              <wp:posOffset>-145188</wp:posOffset>
            </wp:positionV>
            <wp:extent cx="1253826" cy="46198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826" cy="46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740"/>
        </w:rPr>
        <w:t>TRADIFLOR</w:t>
      </w:r>
      <w:r>
        <w:rPr>
          <w:color w:val="001740"/>
          <w:spacing w:val="-3"/>
        </w:rPr>
        <w:t> </w:t>
      </w:r>
      <w:r>
        <w:rPr>
          <w:color w:val="001740"/>
        </w:rPr>
        <w:t>2S3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36"/>
      </w:pPr>
      <w:r>
        <w:rPr/>
        <w:t>TRADIFLOR</w:t>
      </w:r>
      <w:r>
        <w:rPr>
          <w:spacing w:val="-1"/>
        </w:rPr>
        <w:t> </w:t>
      </w:r>
      <w:r>
        <w:rPr/>
        <w:t>2S3</w:t>
      </w:r>
      <w:r>
        <w:rPr>
          <w:spacing w:val="1"/>
        </w:rPr>
        <w:t> </w:t>
      </w:r>
      <w:r>
        <w:rPr/>
        <w:t>:</w:t>
      </w:r>
    </w:p>
    <w:p>
      <w:pPr>
        <w:pStyle w:val="BodyText"/>
      </w:pPr>
    </w:p>
    <w:p>
      <w:pPr>
        <w:spacing w:before="0"/>
        <w:ind w:left="136" w:right="132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Le revêtement de sol sélectionné est un </w:t>
      </w:r>
      <w:r>
        <w:rPr>
          <w:rFonts w:ascii="Arial" w:hAnsi="Arial"/>
          <w:b/>
          <w:sz w:val="24"/>
        </w:rPr>
        <w:t>revêtement PVC multicouche, armaturé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voile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verre,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isophonique,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antidérapant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(R10),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couche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d’usure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transparente (0.25 mm), groupe T d’abrasion, sur sous-couche mousse extra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densité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en rouleau de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large, de</w:t>
      </w:r>
      <w:r>
        <w:rPr>
          <w:spacing w:val="-1"/>
          <w:sz w:val="24"/>
        </w:rPr>
        <w:t> </w:t>
      </w:r>
      <w:r>
        <w:rPr>
          <w:sz w:val="24"/>
        </w:rPr>
        <w:t>type</w:t>
      </w:r>
      <w:r>
        <w:rPr>
          <w:spacing w:val="2"/>
          <w:sz w:val="24"/>
        </w:rPr>
        <w:t> </w:t>
      </w:r>
      <w:r>
        <w:rPr>
          <w:rFonts w:ascii="Arial" w:hAnsi="Arial"/>
          <w:b/>
          <w:sz w:val="24"/>
        </w:rPr>
        <w:t>TRADIFLOR 2S3.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36" w:right="150"/>
      </w:pPr>
      <w:r>
        <w:rPr/>
        <w:t>Sa composition comprendra au moins 30% de matières minérales et 20 % de</w:t>
      </w:r>
      <w:r>
        <w:rPr>
          <w:spacing w:val="1"/>
        </w:rPr>
        <w:t> </w:t>
      </w:r>
      <w:r>
        <w:rPr/>
        <w:t>matières</w:t>
      </w:r>
      <w:r>
        <w:rPr>
          <w:spacing w:val="-3"/>
        </w:rPr>
        <w:t> </w:t>
      </w:r>
      <w:r>
        <w:rPr/>
        <w:t>inépuisables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sera</w:t>
      </w:r>
      <w:r>
        <w:rPr>
          <w:spacing w:val="-4"/>
        </w:rPr>
        <w:t> </w:t>
      </w:r>
      <w:r>
        <w:rPr/>
        <w:t>exempt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formaldéhyde,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métaux</w:t>
      </w:r>
      <w:r>
        <w:rPr>
          <w:spacing w:val="-5"/>
        </w:rPr>
        <w:t> </w:t>
      </w:r>
      <w:r>
        <w:rPr/>
        <w:t>lourds</w:t>
      </w:r>
      <w:r>
        <w:rPr>
          <w:spacing w:val="-3"/>
        </w:rPr>
        <w:t> </w:t>
      </w:r>
      <w:r>
        <w:rPr/>
        <w:t>vPvB</w:t>
      </w:r>
    </w:p>
    <w:p>
      <w:pPr>
        <w:pStyle w:val="BodyText"/>
        <w:ind w:left="136" w:right="150"/>
      </w:pPr>
      <w:r>
        <w:rPr/>
        <w:t>(très persistantes et très bioaccumulatives) et PBT (persistantes, bioaccumulatives et</w:t>
      </w:r>
      <w:r>
        <w:rPr>
          <w:spacing w:val="-64"/>
        </w:rPr>
        <w:t> </w:t>
      </w:r>
      <w:r>
        <w:rPr/>
        <w:t>toxiques)</w:t>
      </w:r>
      <w:r>
        <w:rPr>
          <w:spacing w:val="-1"/>
        </w:rPr>
        <w:t> </w:t>
      </w:r>
      <w:r>
        <w:rPr/>
        <w:t>; les</w:t>
      </w:r>
      <w:r>
        <w:rPr>
          <w:spacing w:val="-2"/>
        </w:rPr>
        <w:t> </w:t>
      </w:r>
      <w:r>
        <w:rPr/>
        <w:t>produits</w:t>
      </w:r>
      <w:r>
        <w:rPr>
          <w:spacing w:val="-3"/>
        </w:rPr>
        <w:t> </w:t>
      </w:r>
      <w:r>
        <w:rPr/>
        <w:t>GERFLOR sont</w:t>
      </w:r>
      <w:r>
        <w:rPr>
          <w:spacing w:val="-2"/>
        </w:rPr>
        <w:t> </w:t>
      </w:r>
      <w:r>
        <w:rPr/>
        <w:t>donc</w:t>
      </w:r>
      <w:r>
        <w:rPr>
          <w:spacing w:val="-5"/>
        </w:rPr>
        <w:t> </w:t>
      </w:r>
      <w:r>
        <w:rPr/>
        <w:t>conformes</w:t>
      </w:r>
      <w:r>
        <w:rPr>
          <w:spacing w:val="-2"/>
        </w:rPr>
        <w:t> </w:t>
      </w:r>
      <w:r>
        <w:rPr/>
        <w:t>à REACH.</w:t>
      </w:r>
    </w:p>
    <w:p>
      <w:pPr>
        <w:spacing w:line="240" w:lineRule="auto" w:before="0"/>
        <w:ind w:left="136" w:right="145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Les émissions dans l’air de TVOC à 28 jours (NF EN 16000) du revêtement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sélectionné seront &lt; 100 µg / m³ </w:t>
      </w:r>
      <w:r>
        <w:rPr>
          <w:sz w:val="24"/>
        </w:rPr>
        <w:t>et seront classées A+ (la meilleure classe) dans le</w:t>
      </w:r>
      <w:r>
        <w:rPr>
          <w:spacing w:val="-64"/>
          <w:sz w:val="24"/>
        </w:rPr>
        <w:t> </w:t>
      </w:r>
      <w:r>
        <w:rPr>
          <w:sz w:val="24"/>
        </w:rPr>
        <w:t>cadre de l’étiquetage sanitaire. Il est 100% recyclable et les chutes de pose peuvent</w:t>
      </w:r>
      <w:r>
        <w:rPr>
          <w:spacing w:val="1"/>
          <w:sz w:val="24"/>
        </w:rPr>
        <w:t> </w:t>
      </w:r>
      <w:r>
        <w:rPr>
          <w:sz w:val="24"/>
        </w:rPr>
        <w:t>être</w:t>
      </w:r>
      <w:r>
        <w:rPr>
          <w:spacing w:val="-1"/>
          <w:sz w:val="24"/>
        </w:rPr>
        <w:t> </w:t>
      </w:r>
      <w:r>
        <w:rPr>
          <w:sz w:val="24"/>
        </w:rPr>
        <w:t>collectées</w:t>
      </w:r>
      <w:r>
        <w:rPr>
          <w:spacing w:val="-3"/>
          <w:sz w:val="24"/>
        </w:rPr>
        <w:t> </w:t>
      </w:r>
      <w:r>
        <w:rPr>
          <w:sz w:val="24"/>
        </w:rPr>
        <w:t>et recyclées</w:t>
      </w:r>
      <w:r>
        <w:rPr>
          <w:spacing w:val="-1"/>
          <w:sz w:val="24"/>
        </w:rPr>
        <w:t> </w:t>
      </w:r>
      <w:r>
        <w:rPr>
          <w:sz w:val="24"/>
        </w:rPr>
        <w:t>au travers</w:t>
      </w:r>
      <w:r>
        <w:rPr>
          <w:spacing w:val="-4"/>
          <w:sz w:val="24"/>
        </w:rPr>
        <w:t> </w:t>
      </w:r>
      <w:r>
        <w:rPr>
          <w:sz w:val="24"/>
        </w:rPr>
        <w:t>du</w:t>
      </w:r>
      <w:r>
        <w:rPr>
          <w:spacing w:val="-2"/>
          <w:sz w:val="24"/>
        </w:rPr>
        <w:t> </w:t>
      </w:r>
      <w:r>
        <w:rPr>
          <w:sz w:val="24"/>
        </w:rPr>
        <w:t>programme</w:t>
      </w:r>
      <w:r>
        <w:rPr>
          <w:spacing w:val="-1"/>
          <w:sz w:val="24"/>
        </w:rPr>
        <w:t> </w:t>
      </w:r>
      <w:r>
        <w:rPr>
          <w:sz w:val="24"/>
        </w:rPr>
        <w:t>Gerflor Seconde</w:t>
      </w:r>
      <w:r>
        <w:rPr>
          <w:spacing w:val="-1"/>
          <w:sz w:val="24"/>
        </w:rPr>
        <w:t> </w:t>
      </w:r>
      <w:r>
        <w:rPr>
          <w:sz w:val="24"/>
        </w:rPr>
        <w:t>Vie.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136" w:right="134"/>
        <w:jc w:val="both"/>
      </w:pPr>
      <w:r>
        <w:rPr/>
        <w:t>Ce</w:t>
      </w:r>
      <w:r>
        <w:rPr>
          <w:spacing w:val="-6"/>
        </w:rPr>
        <w:t> </w:t>
      </w:r>
      <w:r>
        <w:rPr/>
        <w:t>revêtement</w:t>
      </w:r>
      <w:r>
        <w:rPr>
          <w:spacing w:val="-6"/>
        </w:rPr>
        <w:t> </w:t>
      </w:r>
      <w:r>
        <w:rPr/>
        <w:t>satisfait</w:t>
      </w:r>
      <w:r>
        <w:rPr>
          <w:spacing w:val="-9"/>
        </w:rPr>
        <w:t> </w:t>
      </w:r>
      <w:r>
        <w:rPr/>
        <w:t>aux</w:t>
      </w:r>
      <w:r>
        <w:rPr>
          <w:spacing w:val="-7"/>
        </w:rPr>
        <w:t> </w:t>
      </w:r>
      <w:r>
        <w:rPr/>
        <w:t>exigences</w:t>
      </w:r>
      <w:r>
        <w:rPr>
          <w:spacing w:val="-7"/>
        </w:rPr>
        <w:t> </w:t>
      </w:r>
      <w:r>
        <w:rPr/>
        <w:t>d’un</w:t>
      </w:r>
      <w:r>
        <w:rPr>
          <w:spacing w:val="-6"/>
        </w:rPr>
        <w:t> </w:t>
      </w:r>
      <w:r>
        <w:rPr/>
        <w:t>classement</w:t>
      </w:r>
      <w:r>
        <w:rPr>
          <w:spacing w:val="-5"/>
        </w:rPr>
        <w:t> </w:t>
      </w:r>
      <w:r>
        <w:rPr>
          <w:rFonts w:ascii="Arial" w:hAnsi="Arial"/>
          <w:b/>
        </w:rPr>
        <w:t>U2SP3E2/3C2</w:t>
      </w:r>
      <w:r>
        <w:rPr>
          <w:rFonts w:ascii="Arial" w:hAnsi="Arial"/>
          <w:b/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bénéficie</w:t>
      </w:r>
      <w:r>
        <w:rPr>
          <w:spacing w:val="-6"/>
        </w:rPr>
        <w:t> </w:t>
      </w:r>
      <w:r>
        <w:rPr/>
        <w:t>de</w:t>
      </w:r>
      <w:r>
        <w:rPr>
          <w:spacing w:val="-64"/>
        </w:rPr>
        <w:t> </w:t>
      </w:r>
      <w:r>
        <w:rPr/>
        <w:t>la certification    </w:t>
      </w:r>
      <w:r>
        <w:rPr>
          <w:spacing w:val="-3"/>
          <w:position w:val="1"/>
        </w:rPr>
        <w:drawing>
          <wp:inline distT="0" distB="0" distL="0" distR="0">
            <wp:extent cx="669174" cy="21138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174" cy="21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1"/>
        </w:rPr>
      </w:r>
      <w:r>
        <w:rPr>
          <w:rFonts w:ascii="Times New Roman" w:hAnsi="Times New Roman"/>
          <w:spacing w:val="-3"/>
        </w:rPr>
        <w:t>  </w:t>
      </w:r>
      <w:r>
        <w:rPr>
          <w:rFonts w:ascii="Times New Roman" w:hAnsi="Times New Roman"/>
          <w:spacing w:val="-23"/>
        </w:rPr>
        <w:t> </w:t>
      </w:r>
      <w:r>
        <w:rPr/>
        <w:t>.Il aura un compromis résistance au poinçonnement /</w:t>
      </w:r>
      <w:r>
        <w:rPr>
          <w:spacing w:val="1"/>
        </w:rPr>
        <w:t> </w:t>
      </w:r>
      <w:r>
        <w:rPr/>
        <w:t>isolation</w:t>
      </w:r>
      <w:r>
        <w:rPr>
          <w:spacing w:val="-3"/>
        </w:rPr>
        <w:t> </w:t>
      </w:r>
      <w:r>
        <w:rPr/>
        <w:t>acoustique de</w:t>
      </w:r>
      <w:r>
        <w:rPr>
          <w:spacing w:val="-2"/>
        </w:rPr>
        <w:t> </w:t>
      </w:r>
      <w:r>
        <w:rPr/>
        <w:t>0,14 mm</w:t>
      </w:r>
      <w:r>
        <w:rPr>
          <w:spacing w:val="-1"/>
        </w:rPr>
        <w:t> </w:t>
      </w:r>
      <w:r>
        <w:rPr/>
        <w:t>/ 20 dB.</w:t>
      </w:r>
    </w:p>
    <w:p>
      <w:pPr>
        <w:pStyle w:val="BodyText"/>
        <w:ind w:left="136" w:right="132"/>
        <w:jc w:val="both"/>
      </w:pPr>
      <w:r>
        <w:rPr/>
        <w:t>La couche d’usure bénéficie dans la masse du traitement </w:t>
      </w:r>
      <w:r>
        <w:rPr>
          <w:rFonts w:ascii="Arial" w:hAnsi="Arial"/>
          <w:b/>
        </w:rPr>
        <w:t>Gernet® Ultra </w:t>
      </w:r>
      <w:r>
        <w:rPr/>
        <w:t>(brevets</w:t>
      </w:r>
      <w:r>
        <w:rPr>
          <w:spacing w:val="1"/>
        </w:rPr>
        <w:t> </w:t>
      </w:r>
      <w:r>
        <w:rPr/>
        <w:t>exclusifs)</w:t>
      </w:r>
      <w:r>
        <w:rPr>
          <w:spacing w:val="-1"/>
        </w:rPr>
        <w:t> </w:t>
      </w:r>
      <w:r>
        <w:rPr/>
        <w:t>pour faciliter</w:t>
      </w:r>
      <w:r>
        <w:rPr>
          <w:spacing w:val="-3"/>
        </w:rPr>
        <w:t> </w:t>
      </w:r>
      <w:r>
        <w:rPr/>
        <w:t>l’entretien.</w:t>
      </w:r>
    </w:p>
    <w:p>
      <w:pPr>
        <w:pStyle w:val="BodyText"/>
        <w:ind w:left="136" w:right="132"/>
        <w:jc w:val="both"/>
      </w:pPr>
      <w:r>
        <w:rPr/>
        <w:t>Il est antistatique (AS Classe 1). Il possède une excellente résistance aux agents</w:t>
      </w:r>
      <w:r>
        <w:rPr>
          <w:spacing w:val="1"/>
        </w:rPr>
        <w:t> </w:t>
      </w:r>
      <w:r>
        <w:rPr/>
        <w:t>chimiques</w:t>
      </w:r>
      <w:r>
        <w:rPr>
          <w:spacing w:val="-1"/>
        </w:rPr>
        <w:t> </w:t>
      </w:r>
      <w:r>
        <w:rPr/>
        <w:t>et corps</w:t>
      </w:r>
      <w:r>
        <w:rPr>
          <w:spacing w:val="-2"/>
        </w:rPr>
        <w:t> </w:t>
      </w:r>
      <w:r>
        <w:rPr/>
        <w:t>gras.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136"/>
        <w:jc w:val="both"/>
      </w:pPr>
      <w:r>
        <w:rPr/>
        <w:t>Il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fabriqué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France.</w:t>
      </w:r>
    </w:p>
    <w:p>
      <w:pPr>
        <w:pStyle w:val="BodyText"/>
      </w:pPr>
    </w:p>
    <w:p>
      <w:pPr>
        <w:pStyle w:val="BodyText"/>
        <w:ind w:left="136" w:right="135"/>
        <w:jc w:val="both"/>
      </w:pPr>
      <w:r>
        <w:rPr>
          <w:spacing w:val="-1"/>
        </w:rPr>
        <w:t>Le</w:t>
      </w:r>
      <w:r>
        <w:rPr>
          <w:spacing w:val="-14"/>
        </w:rPr>
        <w:t> </w:t>
      </w:r>
      <w:r>
        <w:rPr>
          <w:spacing w:val="-1"/>
        </w:rPr>
        <w:t>revêtement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sol</w:t>
      </w:r>
      <w:r>
        <w:rPr>
          <w:spacing w:val="-15"/>
        </w:rPr>
        <w:t> </w:t>
      </w:r>
      <w:r>
        <w:rPr>
          <w:spacing w:val="-1"/>
        </w:rPr>
        <w:t>Tradiflor</w:t>
      </w:r>
      <w:r>
        <w:rPr>
          <w:spacing w:val="-15"/>
        </w:rPr>
        <w:t> </w:t>
      </w:r>
      <w:r>
        <w:rPr>
          <w:spacing w:val="-1"/>
        </w:rPr>
        <w:t>2S3</w:t>
      </w:r>
      <w:r>
        <w:rPr>
          <w:spacing w:val="-14"/>
        </w:rPr>
        <w:t> </w:t>
      </w:r>
      <w:r>
        <w:rPr/>
        <w:t>peut</w:t>
      </w:r>
      <w:r>
        <w:rPr>
          <w:spacing w:val="-16"/>
        </w:rPr>
        <w:t> </w:t>
      </w:r>
      <w:r>
        <w:rPr/>
        <w:t>également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poser</w:t>
      </w:r>
      <w:r>
        <w:rPr>
          <w:spacing w:val="-14"/>
        </w:rPr>
        <w:t> </w:t>
      </w:r>
      <w:r>
        <w:rPr/>
        <w:t>sans</w:t>
      </w:r>
      <w:r>
        <w:rPr>
          <w:spacing w:val="-14"/>
        </w:rPr>
        <w:t> </w:t>
      </w:r>
      <w:r>
        <w:rPr/>
        <w:t>colle</w:t>
      </w:r>
      <w:r>
        <w:rPr>
          <w:spacing w:val="-14"/>
        </w:rPr>
        <w:t> </w:t>
      </w:r>
      <w:r>
        <w:rPr/>
        <w:t>avec</w:t>
      </w:r>
      <w:r>
        <w:rPr>
          <w:spacing w:val="-17"/>
        </w:rPr>
        <w:t> </w:t>
      </w:r>
      <w:r>
        <w:rPr/>
        <w:t>un</w:t>
      </w:r>
      <w:r>
        <w:rPr>
          <w:spacing w:val="-16"/>
        </w:rPr>
        <w:t> </w:t>
      </w:r>
      <w:r>
        <w:rPr/>
        <w:t>adhésif</w:t>
      </w:r>
      <w:r>
        <w:rPr>
          <w:spacing w:val="-64"/>
        </w:rPr>
        <w:t> </w:t>
      </w:r>
      <w:r>
        <w:rPr/>
        <w:t>double</w:t>
      </w:r>
      <w:r>
        <w:rPr>
          <w:spacing w:val="-14"/>
        </w:rPr>
        <w:t> </w:t>
      </w:r>
      <w:r>
        <w:rPr/>
        <w:t>face</w:t>
      </w:r>
      <w:r>
        <w:rPr>
          <w:spacing w:val="-14"/>
        </w:rPr>
        <w:t> </w:t>
      </w:r>
      <w:r>
        <w:rPr/>
        <w:t>non</w:t>
      </w:r>
      <w:r>
        <w:rPr>
          <w:spacing w:val="-14"/>
        </w:rPr>
        <w:t> </w:t>
      </w:r>
      <w:r>
        <w:rPr/>
        <w:t>migrant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périphérie</w:t>
      </w:r>
      <w:r>
        <w:rPr>
          <w:spacing w:val="-13"/>
        </w:rPr>
        <w:t> </w:t>
      </w:r>
      <w:r>
        <w:rPr/>
        <w:t>des</w:t>
      </w:r>
      <w:r>
        <w:rPr>
          <w:spacing w:val="-14"/>
        </w:rPr>
        <w:t> </w:t>
      </w:r>
      <w:r>
        <w:rPr/>
        <w:t>pièces</w:t>
      </w:r>
      <w:r>
        <w:rPr>
          <w:spacing w:val="-14"/>
        </w:rPr>
        <w:t> </w:t>
      </w:r>
      <w:r>
        <w:rPr/>
        <w:t>et</w:t>
      </w:r>
      <w:r>
        <w:rPr>
          <w:spacing w:val="-13"/>
        </w:rPr>
        <w:t> </w:t>
      </w:r>
      <w:r>
        <w:rPr/>
        <w:t>aux</w:t>
      </w:r>
      <w:r>
        <w:rPr>
          <w:spacing w:val="-14"/>
        </w:rPr>
        <w:t> </w:t>
      </w:r>
      <w:r>
        <w:rPr/>
        <w:t>joints</w:t>
      </w:r>
      <w:r>
        <w:rPr>
          <w:spacing w:val="-13"/>
        </w:rPr>
        <w:t> </w:t>
      </w:r>
      <w:r>
        <w:rPr/>
        <w:t>des</w:t>
      </w:r>
      <w:r>
        <w:rPr>
          <w:spacing w:val="-14"/>
        </w:rPr>
        <w:t> </w:t>
      </w:r>
      <w:r>
        <w:rPr/>
        <w:t>lés.</w:t>
      </w:r>
      <w:r>
        <w:rPr>
          <w:spacing w:val="-11"/>
        </w:rPr>
        <w:t> </w:t>
      </w:r>
      <w:r>
        <w:rPr/>
        <w:t>Il</w:t>
      </w:r>
      <w:r>
        <w:rPr>
          <w:spacing w:val="-14"/>
        </w:rPr>
        <w:t> </w:t>
      </w:r>
      <w:r>
        <w:rPr/>
        <w:t>bénéficie</w:t>
      </w:r>
      <w:r>
        <w:rPr>
          <w:spacing w:val="-13"/>
        </w:rPr>
        <w:t> </w:t>
      </w:r>
      <w:r>
        <w:rPr/>
        <w:t>d’un</w:t>
      </w:r>
      <w:r>
        <w:rPr>
          <w:spacing w:val="-64"/>
        </w:rPr>
        <w:t> </w:t>
      </w:r>
      <w:r>
        <w:rPr/>
        <w:t>classement UPEC U2SP3 sous Avis Technique (n° 12/18 – 1779-V1). Ce mode de</w:t>
      </w:r>
      <w:r>
        <w:rPr>
          <w:spacing w:val="1"/>
        </w:rPr>
        <w:t> </w:t>
      </w:r>
      <w:r>
        <w:rPr/>
        <w:t>pose</w:t>
      </w:r>
      <w:r>
        <w:rPr>
          <w:spacing w:val="-1"/>
        </w:rPr>
        <w:t> </w:t>
      </w:r>
      <w:r>
        <w:rPr/>
        <w:t>sera appelé Tradiflor 2S3</w:t>
      </w:r>
      <w:r>
        <w:rPr>
          <w:spacing w:val="-2"/>
        </w:rPr>
        <w:t> </w:t>
      </w:r>
      <w:r>
        <w:rPr/>
        <w:t>semi</w:t>
      </w:r>
      <w:r>
        <w:rPr>
          <w:spacing w:val="3"/>
        </w:rPr>
        <w:t> </w:t>
      </w:r>
      <w:r>
        <w:rPr/>
        <w:t>libre.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rect style="position:absolute;margin-left:69.384003pt;margin-top:17.189856pt;width:456.58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377" w:val="left" w:leader="none"/>
        </w:tabs>
        <w:spacing w:before="9"/>
        <w:ind w:left="13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1740"/>
          <w:sz w:val="20"/>
        </w:rPr>
        <w:t>Modèle</w:t>
      </w:r>
      <w:r>
        <w:rPr>
          <w:rFonts w:ascii="Arial" w:hAnsi="Arial"/>
          <w:b/>
          <w:color w:val="001740"/>
          <w:spacing w:val="-3"/>
          <w:sz w:val="20"/>
        </w:rPr>
        <w:t> </w:t>
      </w:r>
      <w:r>
        <w:rPr>
          <w:rFonts w:ascii="Arial" w:hAnsi="Arial"/>
          <w:b/>
          <w:color w:val="001740"/>
          <w:sz w:val="20"/>
        </w:rPr>
        <w:t>de</w:t>
      </w:r>
      <w:r>
        <w:rPr>
          <w:rFonts w:ascii="Arial" w:hAnsi="Arial"/>
          <w:b/>
          <w:color w:val="001740"/>
          <w:spacing w:val="-2"/>
          <w:sz w:val="20"/>
        </w:rPr>
        <w:t> </w:t>
      </w:r>
      <w:r>
        <w:rPr>
          <w:rFonts w:ascii="Arial" w:hAnsi="Arial"/>
          <w:b/>
          <w:color w:val="001740"/>
          <w:sz w:val="20"/>
        </w:rPr>
        <w:t>descriptif</w:t>
        <w:tab/>
        <w:t>gerflor.fr</w:t>
      </w:r>
    </w:p>
    <w:sectPr>
      <w:type w:val="continuous"/>
      <w:pgSz w:w="11910" w:h="16840"/>
      <w:pgMar w:top="124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06"/>
      <w:ind w:right="135"/>
      <w:jc w:val="right"/>
    </w:pPr>
    <w:rPr>
      <w:rFonts w:ascii="Arial MT" w:hAnsi="Arial MT" w:eastAsia="Arial MT" w:cs="Arial MT"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gerflor</dc:creator>
  <dcterms:created xsi:type="dcterms:W3CDTF">2022-12-13T09:11:23Z</dcterms:created>
  <dcterms:modified xsi:type="dcterms:W3CDTF">2022-12-13T09:11:23Z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2022-12-13T00:00:00Z</vt:filetime>
  </property>
</Properties>
</file>